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360" w:lineRule="auto"/>
        <w:ind w:left="0" w:leftChars="0" w:right="0" w:rightChars="0" w:firstLine="0" w:firstLineChars="0"/>
        <w:jc w:val="center"/>
        <w:textAlignment w:val="auto"/>
        <w:outlineLvl w:val="9"/>
        <w:rPr>
          <w:rFonts w:hint="eastAsia" w:ascii="Verdana" w:hAnsi="Verdana" w:cs="Verdana"/>
          <w:b/>
          <w:bCs/>
          <w:color w:val="000000"/>
          <w:sz w:val="36"/>
          <w:szCs w:val="36"/>
          <w:lang w:val="en-US" w:eastAsia="zh-CN"/>
        </w:rPr>
      </w:pPr>
      <w:r>
        <w:rPr>
          <w:rFonts w:hint="eastAsia" w:ascii="Verdana" w:hAnsi="Verdana" w:cs="Verdana"/>
          <w:b/>
          <w:bCs/>
          <w:color w:val="000000"/>
          <w:sz w:val="36"/>
          <w:szCs w:val="36"/>
          <w:lang w:eastAsia="zh-CN"/>
        </w:rPr>
        <w:t>信息工程</w:t>
      </w:r>
      <w:r>
        <w:rPr>
          <w:rFonts w:hint="eastAsia" w:ascii="Verdana" w:hAnsi="Verdana" w:cs="Verdana"/>
          <w:b/>
          <w:bCs/>
          <w:color w:val="000000"/>
          <w:sz w:val="36"/>
          <w:szCs w:val="36"/>
        </w:rPr>
        <w:t>学院人才培养方案微调</w:t>
      </w:r>
      <w:r>
        <w:rPr>
          <w:rFonts w:hint="eastAsia" w:ascii="Verdana" w:hAnsi="Verdana" w:cs="Verdana"/>
          <w:b/>
          <w:bCs/>
          <w:color w:val="000000"/>
          <w:sz w:val="36"/>
          <w:szCs w:val="36"/>
          <w:lang w:eastAsia="zh-CN"/>
        </w:rPr>
        <w:t>方案</w:t>
      </w:r>
    </w:p>
    <w:p>
      <w:pPr>
        <w:pStyle w:val="2"/>
        <w:keepNext w:val="0"/>
        <w:keepLines w:val="0"/>
        <w:widowControl/>
        <w:suppressLineNumbers w:val="0"/>
        <w:spacing w:before="0" w:beforeAutospacing="0" w:after="0" w:afterAutospacing="0" w:line="360" w:lineRule="auto"/>
        <w:ind w:left="0" w:right="0"/>
        <w:rPr>
          <w:rFonts w:hint="eastAsia" w:ascii="Verdana" w:hAnsi="Verdana" w:cs="Verdana"/>
          <w:color w:val="000000"/>
          <w:sz w:val="24"/>
          <w:szCs w:val="24"/>
          <w:lang w:eastAsia="zh-CN"/>
        </w:rPr>
      </w:pPr>
      <w:r>
        <w:rPr>
          <w:rFonts w:hint="eastAsia" w:ascii="Verdana" w:hAnsi="Verdana" w:cs="Verdana"/>
          <w:color w:val="000000"/>
          <w:sz w:val="24"/>
          <w:szCs w:val="24"/>
          <w:lang w:val="en-US" w:eastAsia="zh-CN"/>
        </w:rPr>
        <w:t xml:space="preserve">    根据学校微调人才培养方案的要求，</w:t>
      </w:r>
      <w:r>
        <w:rPr>
          <w:rFonts w:hint="eastAsia" w:ascii="Verdana" w:hAnsi="Verdana" w:cs="Verdana"/>
          <w:color w:val="000000"/>
          <w:sz w:val="24"/>
          <w:szCs w:val="24"/>
          <w:lang w:eastAsia="zh-CN"/>
        </w:rPr>
        <w:t>参照</w:t>
      </w:r>
      <w:r>
        <w:rPr>
          <w:rFonts w:hint="default" w:ascii="Verdana" w:hAnsi="Verdana" w:cs="Verdana"/>
          <w:color w:val="000000"/>
          <w:sz w:val="24"/>
          <w:szCs w:val="24"/>
        </w:rPr>
        <w:t>《湖北经济学院关于制定2014年全日制普通本科专业人才培养方案的指导意见》</w:t>
      </w:r>
      <w:r>
        <w:rPr>
          <w:rFonts w:hint="eastAsia" w:ascii="Verdana" w:hAnsi="Verdana" w:cs="Verdana"/>
          <w:color w:val="000000"/>
          <w:sz w:val="24"/>
          <w:szCs w:val="24"/>
          <w:lang w:eastAsia="zh-CN"/>
        </w:rPr>
        <w:t>，我院成立了</w:t>
      </w:r>
      <w:r>
        <w:rPr>
          <w:rFonts w:hint="default" w:ascii="Verdana" w:hAnsi="Verdana" w:cs="Verdana"/>
          <w:color w:val="000000"/>
          <w:sz w:val="24"/>
          <w:szCs w:val="24"/>
        </w:rPr>
        <w:t>人才培养方案微调工作领导小组和分专业的人才培养方案微调专家组</w:t>
      </w:r>
      <w:r>
        <w:rPr>
          <w:rFonts w:hint="eastAsia" w:ascii="Verdana" w:hAnsi="Verdana" w:cs="Verdana"/>
          <w:color w:val="000000"/>
          <w:sz w:val="24"/>
          <w:szCs w:val="24"/>
          <w:lang w:eastAsia="zh-CN"/>
        </w:rPr>
        <w:t>，</w:t>
      </w:r>
      <w:r>
        <w:rPr>
          <w:rFonts w:hint="default" w:ascii="Verdana" w:hAnsi="Verdana" w:cs="Verdana"/>
          <w:color w:val="000000"/>
          <w:sz w:val="24"/>
          <w:szCs w:val="24"/>
        </w:rPr>
        <w:t>负责协调方案微调的相关事宜</w:t>
      </w:r>
      <w:r>
        <w:rPr>
          <w:rFonts w:hint="eastAsia" w:ascii="Verdana" w:hAnsi="Verdana" w:cs="Verdana"/>
          <w:color w:val="000000"/>
          <w:sz w:val="24"/>
          <w:szCs w:val="24"/>
          <w:lang w:eastAsia="zh-CN"/>
        </w:rPr>
        <w:t>，现将有关要求公布如下：</w:t>
      </w:r>
      <w:bookmarkStart w:id="0" w:name="_GoBack"/>
      <w:bookmarkEnd w:id="0"/>
    </w:p>
    <w:p>
      <w:pPr>
        <w:pStyle w:val="2"/>
        <w:keepNext w:val="0"/>
        <w:keepLines w:val="0"/>
        <w:widowControl/>
        <w:numPr>
          <w:ilvl w:val="0"/>
          <w:numId w:val="1"/>
        </w:numPr>
        <w:suppressLineNumbers w:val="0"/>
        <w:spacing w:before="0" w:beforeAutospacing="0" w:after="0" w:afterAutospacing="0" w:line="360" w:lineRule="auto"/>
        <w:ind w:left="0" w:right="0"/>
        <w:rPr>
          <w:rFonts w:hint="eastAsia" w:ascii="Verdana" w:hAnsi="Verdana" w:cs="Verdana"/>
          <w:b/>
          <w:bCs/>
          <w:color w:val="000000"/>
          <w:sz w:val="24"/>
          <w:szCs w:val="24"/>
          <w:lang w:val="en-US" w:eastAsia="zh-CN"/>
        </w:rPr>
      </w:pPr>
      <w:r>
        <w:rPr>
          <w:rFonts w:hint="eastAsia" w:ascii="Verdana" w:hAnsi="Verdana" w:cs="Verdana"/>
          <w:b/>
          <w:bCs/>
          <w:color w:val="000000"/>
          <w:sz w:val="24"/>
          <w:szCs w:val="24"/>
          <w:lang w:val="en-US" w:eastAsia="zh-CN"/>
        </w:rPr>
        <w:t>领导小组</w:t>
      </w:r>
    </w:p>
    <w:p>
      <w:pPr>
        <w:pStyle w:val="2"/>
        <w:keepNext w:val="0"/>
        <w:keepLines w:val="0"/>
        <w:widowControl/>
        <w:numPr>
          <w:numId w:val="0"/>
        </w:numPr>
        <w:suppressLineNumbers w:val="0"/>
        <w:spacing w:before="0" w:beforeAutospacing="0" w:after="0" w:afterAutospacing="0" w:line="360" w:lineRule="auto"/>
        <w:ind w:right="0" w:rightChars="0"/>
        <w:rPr>
          <w:rFonts w:hint="eastAsia" w:ascii="Verdana" w:hAnsi="Verdana" w:cs="Verdana"/>
          <w:color w:val="000000"/>
          <w:sz w:val="24"/>
          <w:szCs w:val="24"/>
          <w:lang w:val="en-US" w:eastAsia="zh-CN"/>
        </w:rPr>
      </w:pPr>
      <w:r>
        <w:rPr>
          <w:rFonts w:hint="eastAsia" w:ascii="Verdana" w:hAnsi="Verdana" w:cs="Verdana"/>
          <w:color w:val="000000"/>
          <w:sz w:val="24"/>
          <w:szCs w:val="24"/>
          <w:lang w:val="en-US" w:eastAsia="zh-CN"/>
        </w:rPr>
        <w:t xml:space="preserve">   组长：高刃</w:t>
      </w:r>
    </w:p>
    <w:p>
      <w:pPr>
        <w:pStyle w:val="2"/>
        <w:keepNext w:val="0"/>
        <w:keepLines w:val="0"/>
        <w:widowControl/>
        <w:numPr>
          <w:numId w:val="0"/>
        </w:numPr>
        <w:suppressLineNumbers w:val="0"/>
        <w:spacing w:before="0" w:beforeAutospacing="0" w:after="0" w:afterAutospacing="0" w:line="360" w:lineRule="auto"/>
        <w:ind w:right="0" w:rightChars="0"/>
        <w:rPr>
          <w:rFonts w:hint="eastAsia" w:ascii="Verdana" w:hAnsi="Verdana" w:cs="Verdana"/>
          <w:color w:val="000000"/>
          <w:sz w:val="24"/>
          <w:szCs w:val="24"/>
          <w:lang w:val="en-US" w:eastAsia="zh-CN"/>
        </w:rPr>
      </w:pPr>
      <w:r>
        <w:rPr>
          <w:rFonts w:hint="eastAsia" w:ascii="Verdana" w:hAnsi="Verdana" w:cs="Verdana"/>
          <w:color w:val="000000"/>
          <w:sz w:val="24"/>
          <w:szCs w:val="24"/>
          <w:lang w:val="en-US" w:eastAsia="zh-CN"/>
        </w:rPr>
        <w:t xml:space="preserve">   副组长：宋莺</w:t>
      </w:r>
    </w:p>
    <w:p>
      <w:pPr>
        <w:pStyle w:val="2"/>
        <w:keepNext w:val="0"/>
        <w:keepLines w:val="0"/>
        <w:widowControl/>
        <w:numPr>
          <w:numId w:val="0"/>
        </w:numPr>
        <w:suppressLineNumbers w:val="0"/>
        <w:spacing w:before="0" w:beforeAutospacing="0" w:after="0" w:afterAutospacing="0" w:line="360" w:lineRule="auto"/>
        <w:ind w:right="0" w:rightChars="0"/>
        <w:rPr>
          <w:rFonts w:hint="eastAsia" w:ascii="Verdana" w:hAnsi="Verdana" w:cs="Verdana"/>
          <w:color w:val="000000"/>
          <w:sz w:val="24"/>
          <w:szCs w:val="24"/>
          <w:lang w:val="en-US" w:eastAsia="zh-CN"/>
        </w:rPr>
      </w:pPr>
      <w:r>
        <w:rPr>
          <w:rFonts w:hint="eastAsia" w:ascii="Verdana" w:hAnsi="Verdana" w:cs="Verdana"/>
          <w:color w:val="000000"/>
          <w:sz w:val="24"/>
          <w:szCs w:val="24"/>
          <w:lang w:val="en-US" w:eastAsia="zh-CN"/>
        </w:rPr>
        <w:t xml:space="preserve">   成员：沈田、汪波、关培超、唐建宇、胡雯、汪长凌</w:t>
      </w:r>
    </w:p>
    <w:p>
      <w:pPr>
        <w:pStyle w:val="2"/>
        <w:keepNext w:val="0"/>
        <w:keepLines w:val="0"/>
        <w:widowControl/>
        <w:numPr>
          <w:numId w:val="0"/>
        </w:numPr>
        <w:suppressLineNumbers w:val="0"/>
        <w:spacing w:before="0" w:beforeAutospacing="0" w:after="0" w:afterAutospacing="0" w:line="360" w:lineRule="auto"/>
        <w:ind w:right="0" w:rightChars="0"/>
        <w:rPr>
          <w:rFonts w:hint="eastAsia" w:ascii="Verdana" w:hAnsi="Verdana" w:cs="Verdana"/>
          <w:color w:val="000000"/>
          <w:sz w:val="24"/>
          <w:szCs w:val="24"/>
          <w:lang w:eastAsia="zh-CN"/>
        </w:rPr>
      </w:pPr>
      <w:r>
        <w:rPr>
          <w:rFonts w:hint="eastAsia" w:ascii="Verdana" w:hAnsi="Verdana" w:cs="Verdana"/>
          <w:color w:val="000000"/>
          <w:sz w:val="24"/>
          <w:szCs w:val="24"/>
          <w:lang w:val="en-US" w:eastAsia="zh-CN"/>
        </w:rPr>
        <w:t xml:space="preserve">   </w:t>
      </w:r>
      <w:r>
        <w:rPr>
          <w:rFonts w:hint="eastAsia" w:ascii="Verdana" w:hAnsi="Verdana" w:cs="Verdana"/>
          <w:color w:val="000000"/>
          <w:sz w:val="24"/>
          <w:szCs w:val="24"/>
          <w:lang w:eastAsia="zh-CN"/>
        </w:rPr>
        <w:t>专家组成员：孙宝林、桂超、汪成义、张淑玲、王虹、张棋飞、邓沌华、李祥、王金庭、李媛、杨蕊、李红艳、叶雪军、王茜、崔洪芳</w:t>
      </w:r>
    </w:p>
    <w:p>
      <w:pPr>
        <w:pStyle w:val="2"/>
        <w:keepNext w:val="0"/>
        <w:keepLines w:val="0"/>
        <w:widowControl/>
        <w:numPr>
          <w:numId w:val="0"/>
        </w:numPr>
        <w:suppressLineNumbers w:val="0"/>
        <w:spacing w:before="0" w:beforeAutospacing="0" w:after="0" w:afterAutospacing="0" w:line="360" w:lineRule="auto"/>
        <w:ind w:right="0" w:rightChars="0"/>
        <w:rPr>
          <w:b/>
          <w:bCs/>
        </w:rPr>
      </w:pPr>
      <w:r>
        <w:rPr>
          <w:rFonts w:hint="eastAsia" w:ascii="Verdana" w:hAnsi="Verdana" w:cs="Verdana"/>
          <w:b/>
          <w:bCs/>
          <w:color w:val="000000"/>
          <w:sz w:val="24"/>
          <w:szCs w:val="24"/>
          <w:lang w:eastAsia="zh-CN"/>
        </w:rPr>
        <w:t>二、工作要求</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1．微调范围：本次微调专业培养方案的范围包括2016级普通本科专业培养方案和2016级专升本培养方案。2014级和2015级各专业培养方案在执行过程中发现有缺陷亟需调整的，一并提出微调意见。</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2. 微调形式：各</w:t>
      </w:r>
      <w:r>
        <w:rPr>
          <w:rFonts w:hint="eastAsia" w:ascii="Verdana" w:hAnsi="Verdana" w:cs="Verdana"/>
          <w:color w:val="000000"/>
          <w:sz w:val="24"/>
          <w:szCs w:val="24"/>
          <w:lang w:eastAsia="zh-CN"/>
        </w:rPr>
        <w:t>系</w:t>
      </w:r>
      <w:r>
        <w:rPr>
          <w:rFonts w:hint="default" w:ascii="Verdana" w:hAnsi="Verdana" w:cs="Verdana"/>
          <w:color w:val="000000"/>
          <w:sz w:val="24"/>
          <w:szCs w:val="24"/>
        </w:rPr>
        <w:t>在2015级培养方案（纸质材料）的基础上进行修改，形成2016级人才培养方案，修改之处用红笔标注；2014级和2015级培养方案需要微调的，在纸质版相应的地方用红笔标注。培养方案微调的同时须填写微调汇总表。</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3．微调要求</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（1）根据学校办学定位和人才培养特色，在坚持规范性、统一性的同时，进一步凝练专业特色，做好课程体系优化工作。</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（2）各专业的毕业总学分不能突破2015级相同专业的要求，各类课程学分结构比例严格按照</w:t>
      </w:r>
      <w:r>
        <w:rPr>
          <w:rFonts w:hint="eastAsia" w:ascii="Verdana" w:hAnsi="Verdana" w:cs="Verdana"/>
          <w:color w:val="000000"/>
          <w:sz w:val="24"/>
          <w:szCs w:val="24"/>
          <w:lang w:eastAsia="zh-CN"/>
        </w:rPr>
        <w:t>要求</w:t>
      </w:r>
      <w:r>
        <w:rPr>
          <w:rFonts w:hint="default" w:ascii="Verdana" w:hAnsi="Verdana" w:cs="Verdana"/>
          <w:color w:val="000000"/>
          <w:sz w:val="24"/>
          <w:szCs w:val="24"/>
        </w:rPr>
        <w:t>执行。</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（3）大类招生专业</w:t>
      </w:r>
      <w:r>
        <w:rPr>
          <w:rFonts w:hint="eastAsia" w:ascii="Verdana" w:hAnsi="Verdana" w:cs="Verdana"/>
          <w:color w:val="000000"/>
          <w:sz w:val="24"/>
          <w:szCs w:val="24"/>
          <w:lang w:eastAsia="zh-CN"/>
        </w:rPr>
        <w:t>，</w:t>
      </w:r>
      <w:r>
        <w:rPr>
          <w:rFonts w:hint="default" w:ascii="Verdana" w:hAnsi="Verdana" w:cs="Verdana"/>
          <w:color w:val="000000"/>
          <w:sz w:val="24"/>
          <w:szCs w:val="24"/>
        </w:rPr>
        <w:t>在分流前各学期的课程设置必须完全一致。</w:t>
      </w:r>
    </w:p>
    <w:p>
      <w:pPr>
        <w:pStyle w:val="2"/>
        <w:keepNext w:val="0"/>
        <w:keepLines w:val="0"/>
        <w:widowControl/>
        <w:suppressLineNumbers w:val="0"/>
        <w:spacing w:before="0" w:beforeAutospacing="0" w:after="0" w:afterAutospacing="0" w:line="360" w:lineRule="auto"/>
        <w:ind w:left="0" w:right="0" w:firstLine="480"/>
        <w:rPr>
          <w:rFonts w:hint="eastAsia" w:ascii="Verdana" w:hAnsi="Verdana" w:cs="Verdana"/>
          <w:color w:val="000000"/>
          <w:sz w:val="24"/>
          <w:szCs w:val="24"/>
          <w:lang w:eastAsia="zh-CN"/>
        </w:rPr>
      </w:pPr>
      <w:r>
        <w:rPr>
          <w:rFonts w:hint="default" w:ascii="Verdana" w:hAnsi="Verdana" w:cs="Verdana"/>
          <w:color w:val="000000"/>
          <w:sz w:val="24"/>
          <w:szCs w:val="24"/>
        </w:rPr>
        <w:t>（4）各专业要统筹安排各门课程学期安排，均衡各学期的学习量。各专业不得随意更改“两课”、大学外语、大学数学、大学计算机、经济学管理学类专业基础课程的开课学期</w:t>
      </w:r>
      <w:r>
        <w:rPr>
          <w:rFonts w:hint="eastAsia" w:ascii="Verdana" w:hAnsi="Verdana" w:cs="Verdana"/>
          <w:color w:val="000000"/>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w:t>
      </w:r>
      <w:r>
        <w:rPr>
          <w:rFonts w:hint="eastAsia" w:ascii="Verdana" w:hAnsi="Verdana" w:cs="Verdana"/>
          <w:color w:val="000000"/>
          <w:sz w:val="24"/>
          <w:szCs w:val="24"/>
          <w:lang w:val="en-US" w:eastAsia="zh-CN"/>
        </w:rPr>
        <w:t>5</w:t>
      </w:r>
      <w:r>
        <w:rPr>
          <w:rFonts w:hint="default" w:ascii="Verdana" w:hAnsi="Verdana" w:cs="Verdana"/>
          <w:color w:val="000000"/>
          <w:sz w:val="24"/>
          <w:szCs w:val="24"/>
        </w:rPr>
        <w:t>）各专业应尽量保持专业核心课程的延续性，不得随意调整专业核心课程，不得将选修课列入专业核心课程。在进行微调时必须在纸质版材料上用红笔标记表十一和表十二中所列的专业核心课程。培养方案正文第三部分所列专业核心课程名称（除高等数学和大学英语以外）必须与表十一、表十二中所列专业核心课程名称保持一致。</w:t>
      </w:r>
    </w:p>
    <w:p>
      <w:pPr>
        <w:pStyle w:val="2"/>
        <w:keepNext w:val="0"/>
        <w:keepLines w:val="0"/>
        <w:widowControl/>
        <w:suppressLineNumbers w:val="0"/>
        <w:spacing w:before="0" w:beforeAutospacing="0" w:after="0" w:afterAutospacing="0" w:line="360" w:lineRule="auto"/>
        <w:ind w:left="0" w:right="0" w:firstLine="480"/>
      </w:pPr>
      <w:r>
        <w:rPr>
          <w:rFonts w:hint="default" w:ascii="Verdana" w:hAnsi="Verdana" w:cs="Verdana"/>
          <w:color w:val="000000"/>
          <w:sz w:val="24"/>
          <w:szCs w:val="24"/>
        </w:rPr>
        <w:t>（</w:t>
      </w:r>
      <w:r>
        <w:rPr>
          <w:rFonts w:hint="eastAsia" w:ascii="Verdana" w:hAnsi="Verdana" w:cs="Verdana"/>
          <w:color w:val="000000"/>
          <w:sz w:val="24"/>
          <w:szCs w:val="24"/>
          <w:lang w:val="en-US" w:eastAsia="zh-CN"/>
        </w:rPr>
        <w:t>6</w:t>
      </w:r>
      <w:r>
        <w:rPr>
          <w:rFonts w:hint="default" w:ascii="Verdana" w:hAnsi="Verdana" w:cs="Verdana"/>
          <w:color w:val="000000"/>
          <w:sz w:val="24"/>
          <w:szCs w:val="24"/>
        </w:rPr>
        <w:t>）各专业小学期开设的课程，开课学期应填写为小学期之前的一个学期。</w:t>
      </w:r>
    </w:p>
    <w:p>
      <w:pPr>
        <w:pStyle w:val="2"/>
        <w:keepNext w:val="0"/>
        <w:keepLines w:val="0"/>
        <w:widowControl/>
        <w:suppressLineNumbers w:val="0"/>
        <w:spacing w:before="0" w:beforeAutospacing="0" w:after="0" w:afterAutospacing="0" w:line="360" w:lineRule="auto"/>
        <w:ind w:left="0" w:right="0" w:firstLine="480"/>
        <w:rPr>
          <w:rFonts w:hint="eastAsia" w:ascii="Verdana" w:hAnsi="Verdana" w:cs="Verdana"/>
          <w:b/>
          <w:bCs/>
          <w:color w:val="000000"/>
          <w:sz w:val="24"/>
          <w:szCs w:val="24"/>
          <w:lang w:eastAsia="zh-CN"/>
        </w:rPr>
      </w:pPr>
      <w:r>
        <w:rPr>
          <w:rFonts w:hint="default" w:ascii="Verdana" w:hAnsi="Verdana" w:cs="Verdana"/>
          <w:b/>
          <w:bCs/>
          <w:color w:val="000000"/>
          <w:sz w:val="24"/>
          <w:szCs w:val="24"/>
        </w:rPr>
        <w:t>三、</w:t>
      </w:r>
      <w:r>
        <w:rPr>
          <w:rFonts w:hint="eastAsia" w:ascii="Verdana" w:hAnsi="Verdana" w:cs="Verdana"/>
          <w:b/>
          <w:bCs/>
          <w:color w:val="000000"/>
          <w:sz w:val="24"/>
          <w:szCs w:val="24"/>
          <w:lang w:eastAsia="zh-CN"/>
        </w:rPr>
        <w:t>职责分工</w:t>
      </w:r>
    </w:p>
    <w:p>
      <w:pPr>
        <w:pStyle w:val="2"/>
        <w:keepNext w:val="0"/>
        <w:keepLines w:val="0"/>
        <w:widowControl/>
        <w:suppressLineNumbers w:val="0"/>
        <w:spacing w:before="0" w:beforeAutospacing="0" w:after="0" w:afterAutospacing="0" w:line="360" w:lineRule="auto"/>
        <w:ind w:left="0" w:right="0" w:firstLine="480"/>
        <w:rPr>
          <w:rFonts w:hint="eastAsia" w:ascii="Verdana" w:hAnsi="Verdana" w:cs="Verdana"/>
          <w:color w:val="000000"/>
          <w:sz w:val="24"/>
          <w:szCs w:val="24"/>
          <w:lang w:eastAsia="zh-CN"/>
        </w:rPr>
      </w:pPr>
      <w:r>
        <w:rPr>
          <w:rFonts w:hint="eastAsia" w:ascii="Verdana" w:hAnsi="Verdana" w:cs="Verdana"/>
          <w:color w:val="000000"/>
          <w:sz w:val="24"/>
          <w:szCs w:val="24"/>
          <w:lang w:eastAsia="zh-CN"/>
        </w:rPr>
        <w:t>高刃、宋莺负责全院微调工作的组织协调，各系完成微调后交由指定专家组审核，汪长凌负责各方案调整后的汇总上报工作。</w:t>
      </w:r>
    </w:p>
    <w:p>
      <w:pPr>
        <w:pStyle w:val="2"/>
        <w:keepNext w:val="0"/>
        <w:keepLines w:val="0"/>
        <w:widowControl/>
        <w:suppressLineNumbers w:val="0"/>
        <w:spacing w:before="0" w:beforeAutospacing="0" w:after="0" w:afterAutospacing="0" w:line="360" w:lineRule="auto"/>
        <w:ind w:left="0" w:right="0" w:firstLine="480"/>
        <w:rPr>
          <w:rFonts w:hint="eastAsia" w:ascii="Verdana" w:hAnsi="Verdana" w:cs="Verdana"/>
          <w:color w:val="000000"/>
          <w:sz w:val="24"/>
          <w:szCs w:val="24"/>
          <w:lang w:eastAsia="zh-CN"/>
        </w:rPr>
      </w:pPr>
      <w:r>
        <w:rPr>
          <w:rFonts w:hint="eastAsia" w:ascii="Verdana" w:hAnsi="Verdana" w:cs="Verdana"/>
          <w:color w:val="000000"/>
          <w:sz w:val="24"/>
          <w:szCs w:val="24"/>
          <w:lang w:val="en-US" w:eastAsia="zh-CN"/>
        </w:rPr>
        <w:t xml:space="preserve">              </w:t>
      </w:r>
      <w:r>
        <w:rPr>
          <w:rFonts w:hint="eastAsia" w:ascii="Verdana" w:hAnsi="Verdana" w:cs="Verdana"/>
          <w:color w:val="000000"/>
          <w:sz w:val="24"/>
          <w:szCs w:val="24"/>
          <w:lang w:eastAsia="zh-CN"/>
        </w:rPr>
        <w:t>表</w:t>
      </w:r>
      <w:r>
        <w:rPr>
          <w:rFonts w:hint="eastAsia" w:ascii="Verdana" w:hAnsi="Verdana" w:cs="Verdana"/>
          <w:color w:val="000000"/>
          <w:sz w:val="24"/>
          <w:szCs w:val="24"/>
          <w:lang w:val="en-US" w:eastAsia="zh-CN"/>
        </w:rPr>
        <w:t>1 信工学院人才培养微调工作划分</w:t>
      </w:r>
    </w:p>
    <w:tbl>
      <w:tblPr>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75"/>
        <w:gridCol w:w="2055"/>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微调工作负责人</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审核专家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电子信息工程</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沈田</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张淑玲、杨蕊、王金庭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电子信息工程           （嵌入式系统及应用方向）</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宋莺、胡雯</w:t>
            </w:r>
          </w:p>
        </w:tc>
        <w:tc>
          <w:tcPr>
            <w:tcW w:w="3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汪成义、王虹、张棋飞、李媛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物联网工程</w:t>
            </w: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网络工程</w:t>
            </w: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计算机科学与技术</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汪波、唐建宇</w:t>
            </w:r>
          </w:p>
        </w:tc>
        <w:tc>
          <w:tcPr>
            <w:tcW w:w="3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孙宝林、李红艳、叶雪军、王茜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数字媒体技术</w:t>
            </w: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软件工程</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关培超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桂超、邓沌华、李祥、崔洪芳</w:t>
            </w:r>
          </w:p>
        </w:tc>
      </w:tr>
    </w:tbl>
    <w:p>
      <w:pPr>
        <w:pStyle w:val="2"/>
        <w:keepNext w:val="0"/>
        <w:keepLines w:val="0"/>
        <w:widowControl/>
        <w:suppressLineNumbers w:val="0"/>
        <w:spacing w:before="0" w:beforeAutospacing="0" w:after="0" w:afterAutospacing="0" w:line="360" w:lineRule="auto"/>
        <w:ind w:left="0" w:right="0" w:firstLine="480"/>
        <w:rPr>
          <w:rFonts w:hint="eastAsia" w:ascii="Verdana" w:hAnsi="Verdana" w:cs="Verdana"/>
          <w:color w:val="000000"/>
          <w:sz w:val="24"/>
          <w:szCs w:val="24"/>
          <w:lang w:eastAsia="zh-CN"/>
        </w:rPr>
      </w:pPr>
    </w:p>
    <w:p>
      <w:pPr>
        <w:pStyle w:val="2"/>
        <w:keepNext w:val="0"/>
        <w:keepLines w:val="0"/>
        <w:widowControl/>
        <w:suppressLineNumbers w:val="0"/>
        <w:spacing w:before="0" w:beforeAutospacing="0" w:after="0" w:afterAutospacing="0" w:line="360" w:lineRule="auto"/>
        <w:ind w:right="316"/>
        <w:jc w:val="both"/>
        <w:rPr>
          <w:rFonts w:hint="eastAsia"/>
          <w:b/>
          <w:bCs/>
          <w:lang w:val="en-US" w:eastAsia="zh-CN"/>
        </w:rPr>
      </w:pPr>
      <w:r>
        <w:rPr>
          <w:rFonts w:hint="eastAsia"/>
          <w:b/>
          <w:bCs/>
          <w:lang w:val="en-US" w:eastAsia="zh-CN"/>
        </w:rPr>
        <w:t xml:space="preserve">  四、注意事项</w:t>
      </w:r>
    </w:p>
    <w:p>
      <w:pPr>
        <w:pStyle w:val="2"/>
        <w:keepNext w:val="0"/>
        <w:keepLines w:val="0"/>
        <w:widowControl/>
        <w:suppressLineNumbers w:val="0"/>
        <w:spacing w:before="0" w:beforeAutospacing="0" w:after="0" w:afterAutospacing="0" w:line="360" w:lineRule="auto"/>
        <w:ind w:right="0"/>
      </w:pPr>
      <w:r>
        <w:rPr>
          <w:rFonts w:hint="eastAsia"/>
          <w:lang w:val="en-US" w:eastAsia="zh-CN"/>
        </w:rPr>
        <w:t xml:space="preserve">    各系严格按照要求完成培养方案的微调工作，提交专家组审核通过后，将</w:t>
      </w:r>
      <w:r>
        <w:rPr>
          <w:rFonts w:ascii="Verdana" w:hAnsi="Verdana" w:cs="Verdana"/>
          <w:color w:val="000000"/>
          <w:sz w:val="24"/>
          <w:szCs w:val="24"/>
        </w:rPr>
        <w:t>各年级各专业的人才培养方案微调的纸质版和微调汇总表于</w:t>
      </w:r>
      <w:r>
        <w:rPr>
          <w:rFonts w:hint="default" w:ascii="Verdana" w:hAnsi="Verdana" w:cs="Verdana"/>
          <w:color w:val="000000"/>
          <w:sz w:val="24"/>
          <w:szCs w:val="24"/>
        </w:rPr>
        <w:t>5月</w:t>
      </w:r>
      <w:r>
        <w:rPr>
          <w:rFonts w:hint="eastAsia" w:ascii="Verdana" w:hAnsi="Verdana" w:cs="Verdana"/>
          <w:color w:val="000000"/>
          <w:sz w:val="24"/>
          <w:szCs w:val="24"/>
          <w:lang w:val="en-US" w:eastAsia="zh-CN"/>
        </w:rPr>
        <w:t>15</w:t>
      </w:r>
      <w:r>
        <w:rPr>
          <w:rFonts w:hint="default" w:ascii="Verdana" w:hAnsi="Verdana" w:cs="Verdana"/>
          <w:color w:val="000000"/>
          <w:sz w:val="24"/>
          <w:szCs w:val="24"/>
        </w:rPr>
        <w:t>日前报</w:t>
      </w:r>
      <w:r>
        <w:rPr>
          <w:rFonts w:hint="eastAsia" w:ascii="Verdana" w:hAnsi="Verdana" w:cs="Verdana"/>
          <w:color w:val="000000"/>
          <w:sz w:val="24"/>
          <w:szCs w:val="24"/>
          <w:lang w:eastAsia="zh-CN"/>
        </w:rPr>
        <w:t>学院教务办公室。</w:t>
      </w:r>
      <w:r>
        <w:rPr>
          <w:rFonts w:hint="default" w:ascii="Verdana" w:hAnsi="Verdana" w:cs="Verdana"/>
          <w:color w:val="000000"/>
          <w:sz w:val="24"/>
          <w:szCs w:val="24"/>
        </w:rPr>
        <w:t>2014级、2015级人才培养方案有微调的，</w:t>
      </w:r>
      <w:r>
        <w:rPr>
          <w:rFonts w:hint="eastAsia" w:ascii="Verdana" w:hAnsi="Verdana" w:cs="Verdana"/>
          <w:color w:val="000000"/>
          <w:sz w:val="24"/>
          <w:szCs w:val="24"/>
          <w:lang w:eastAsia="zh-CN"/>
        </w:rPr>
        <w:t>单独提出申请。</w:t>
      </w:r>
    </w:p>
    <w:p>
      <w:pPr>
        <w:pStyle w:val="2"/>
        <w:keepNext w:val="0"/>
        <w:keepLines w:val="0"/>
        <w:widowControl/>
        <w:suppressLineNumbers w:val="0"/>
        <w:spacing w:before="0" w:beforeAutospacing="0" w:after="0" w:afterAutospacing="0" w:line="360" w:lineRule="auto"/>
        <w:ind w:right="316"/>
        <w:jc w:val="both"/>
        <w:rPr>
          <w:rFonts w:hint="eastAsia"/>
          <w:lang w:val="en-US" w:eastAsia="zh-CN"/>
        </w:rPr>
      </w:pPr>
    </w:p>
    <w:p>
      <w:pPr>
        <w:pStyle w:val="2"/>
        <w:keepNext w:val="0"/>
        <w:keepLines w:val="0"/>
        <w:widowControl/>
        <w:suppressLineNumbers w:val="0"/>
        <w:spacing w:before="0" w:beforeAutospacing="0" w:after="0" w:afterAutospacing="0" w:line="360" w:lineRule="auto"/>
        <w:ind w:left="0" w:right="316" w:firstLine="480"/>
        <w:jc w:val="right"/>
      </w:pPr>
    </w:p>
    <w:p>
      <w:pPr>
        <w:pStyle w:val="2"/>
        <w:keepNext w:val="0"/>
        <w:keepLines w:val="0"/>
        <w:widowControl/>
        <w:suppressLineNumbers w:val="0"/>
        <w:spacing w:before="0" w:beforeAutospacing="0" w:after="0" w:afterAutospacing="0" w:line="360" w:lineRule="auto"/>
        <w:ind w:left="0" w:right="316" w:firstLine="480"/>
        <w:jc w:val="right"/>
        <w:rPr>
          <w:rFonts w:hint="eastAsia" w:ascii="Verdana" w:hAnsi="Verdana" w:cs="Verdana"/>
          <w:color w:val="000000"/>
          <w:sz w:val="24"/>
          <w:szCs w:val="24"/>
          <w:lang w:eastAsia="zh-CN"/>
        </w:rPr>
      </w:pPr>
      <w:r>
        <w:rPr>
          <w:rFonts w:hint="eastAsia" w:ascii="Verdana" w:hAnsi="Verdana" w:cs="Verdana"/>
          <w:color w:val="000000"/>
          <w:sz w:val="24"/>
          <w:szCs w:val="24"/>
          <w:lang w:eastAsia="zh-CN"/>
        </w:rPr>
        <w:t>信息工程学院</w:t>
      </w:r>
    </w:p>
    <w:p>
      <w:pPr>
        <w:pStyle w:val="2"/>
        <w:keepNext w:val="0"/>
        <w:keepLines w:val="0"/>
        <w:widowControl/>
        <w:suppressLineNumbers w:val="0"/>
        <w:spacing w:before="0" w:beforeAutospacing="0" w:after="0" w:afterAutospacing="0" w:line="360" w:lineRule="auto"/>
        <w:ind w:left="0" w:right="316" w:firstLine="480"/>
        <w:jc w:val="right"/>
      </w:pPr>
      <w:r>
        <w:rPr>
          <w:rFonts w:hint="default" w:ascii="Verdana" w:hAnsi="Verdana" w:cs="Verdana"/>
          <w:color w:val="000000"/>
          <w:sz w:val="24"/>
          <w:szCs w:val="24"/>
        </w:rPr>
        <w:t>2016年5月</w:t>
      </w:r>
      <w:r>
        <w:rPr>
          <w:rFonts w:hint="eastAsia" w:ascii="Verdana" w:hAnsi="Verdana" w:cs="Verdana"/>
          <w:color w:val="000000"/>
          <w:sz w:val="24"/>
          <w:szCs w:val="24"/>
          <w:lang w:val="en-US" w:eastAsia="zh-CN"/>
        </w:rPr>
        <w:t>5</w:t>
      </w:r>
      <w:r>
        <w:rPr>
          <w:rFonts w:hint="default" w:ascii="Verdana" w:hAnsi="Verdana" w:cs="Verdana"/>
          <w:color w:val="000000"/>
          <w:sz w:val="24"/>
          <w:szCs w:val="24"/>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High Tower Text"/>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High Tower Text">
    <w:panose1 w:val="02040502050506030303"/>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auto"/>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365E"/>
    <w:multiLevelType w:val="singleLevel"/>
    <w:tmpl w:val="5735365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650BD"/>
    <w:rsid w:val="6758597A"/>
    <w:rsid w:val="7F2D12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item-name"/>
    <w:basedOn w:val="3"/>
    <w:uiPriority w:val="0"/>
    <w:rPr>
      <w:bdr w:val="none" w:color="auto" w:sz="0" w:space="0"/>
    </w:rPr>
  </w:style>
  <w:style w:type="character" w:customStyle="1" w:styleId="8">
    <w:name w:val="item-name1"/>
    <w:basedOn w:val="3"/>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2016-05-13T02:36:08Z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2052-10.1.0.5737</vt:lpwstr>
  </property>
</Properties>
</file>